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2D" w:rsidRDefault="00BC1198" w:rsidP="00BC1198">
      <w:pPr>
        <w:jc w:val="center"/>
        <w:rPr>
          <w:rFonts w:ascii="微軟正黑體" w:eastAsia="微軟正黑體" w:hAnsi="微軟正黑體" w:hint="eastAsia"/>
          <w:color w:val="000000" w:themeColor="text1"/>
          <w:sz w:val="40"/>
          <w:szCs w:val="39"/>
          <w:shd w:val="clear" w:color="auto" w:fill="FFFFFF"/>
        </w:rPr>
      </w:pPr>
      <w:r w:rsidRPr="00BC1198">
        <w:rPr>
          <w:rFonts w:ascii="微軟正黑體" w:eastAsia="微軟正黑體" w:hAnsi="微軟正黑體" w:hint="eastAsia"/>
          <w:color w:val="000000" w:themeColor="text1"/>
          <w:sz w:val="40"/>
          <w:szCs w:val="39"/>
          <w:shd w:val="clear" w:color="auto" w:fill="FFFFFF"/>
        </w:rPr>
        <w:t>電扶梯增設變頻控制</w:t>
      </w:r>
    </w:p>
    <w:p w:rsidR="00BC1198" w:rsidRDefault="00BC1198" w:rsidP="00BC1198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color w:val="000000" w:themeColor="text1"/>
          <w:kern w:val="0"/>
          <w:szCs w:val="21"/>
        </w:rPr>
      </w:pPr>
      <w:r w:rsidRPr="00BC1198">
        <w:rPr>
          <w:rFonts w:ascii="微軟正黑體" w:eastAsia="微軟正黑體" w:hAnsi="微軟正黑體" w:cs="新細明體" w:hint="eastAsia"/>
          <w:color w:val="000000" w:themeColor="text1"/>
          <w:kern w:val="0"/>
          <w:szCs w:val="21"/>
        </w:rPr>
        <w:t>發佈日期：2016-07-04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BC1198" w:rsidRPr="00BC1198" w:rsidTr="002C18E4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行業別</w:t>
            </w:r>
          </w:p>
        </w:tc>
        <w:tc>
          <w:tcPr>
            <w:tcW w:w="2368" w:type="dxa"/>
          </w:tcPr>
          <w:p w:rsidR="00BC1198" w:rsidRPr="00BC1198" w:rsidRDefault="00BC1198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設備別</w:t>
            </w:r>
          </w:p>
        </w:tc>
        <w:tc>
          <w:tcPr>
            <w:tcW w:w="4192" w:type="dxa"/>
          </w:tcPr>
          <w:p w:rsidR="00BC1198" w:rsidRPr="00BC1198" w:rsidRDefault="00BC1198" w:rsidP="002C18E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電(扶)梯系統</w:t>
            </w:r>
          </w:p>
        </w:tc>
      </w:tr>
      <w:tr w:rsidR="00BC1198" w:rsidRPr="00BC1198" w:rsidTr="002C18E4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BC1198" w:rsidRPr="00BC1198" w:rsidRDefault="00BC1198" w:rsidP="00BC1198">
            <w:pPr>
              <w:widowControl/>
              <w:numPr>
                <w:ilvl w:val="0"/>
                <w:numId w:val="7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貴單位使用電扶梯18.65 kW×6台、7.5 kW×9台。主要提供採買顧客上下樓層使用，每日使用時間約1</w:t>
            </w:r>
            <w:bookmarkStart w:id="0" w:name="_GoBack"/>
            <w:bookmarkEnd w:id="0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2小時，全年使用時間為4,380小時，由於電扶梯在非假日或離峰時間乘客人潮較少，而長時間處於空轉狀態，相當浪費能源。</w:t>
            </w:r>
          </w:p>
          <w:p w:rsidR="00BC1198" w:rsidRPr="00BC1198" w:rsidRDefault="00BC1198" w:rsidP="00BC1198">
            <w:pPr>
              <w:widowControl/>
              <w:numPr>
                <w:ilvl w:val="0"/>
                <w:numId w:val="7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電扶梯用電量統計如下表: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7"/>
              <w:gridCol w:w="1856"/>
              <w:gridCol w:w="1496"/>
              <w:gridCol w:w="1925"/>
            </w:tblGrid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設備電功率 (kW)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數量 (台)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運轉時數 (時/年)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參差因素 (%)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耗電量 (kWh/年)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18.65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 4,380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392,098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 4,380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236,520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合計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628,618</w:t>
                  </w:r>
                </w:p>
              </w:tc>
            </w:tr>
          </w:tbl>
          <w:p w:rsidR="00BC1198" w:rsidRPr="00BC1198" w:rsidRDefault="00BC1198" w:rsidP="00BC1198">
            <w:pPr>
              <w:widowControl/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</w:tr>
      <w:tr w:rsidR="00BC1198" w:rsidRPr="00BC1198" w:rsidTr="00BC1198">
        <w:trPr>
          <w:trHeight w:val="699"/>
        </w:trPr>
        <w:tc>
          <w:tcPr>
            <w:tcW w:w="2135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BC1198" w:rsidRPr="00BC1198" w:rsidRDefault="00BC1198" w:rsidP="00BC1198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目前 貴單位內設有上下行電扶梯共15台，連續運轉使用，非假日時段乘車人潮較少，因此建議電扶梯增設變頻控制，使其能依照乘車人潮多寡，進行轉速控制，以達到節約能源之目的，依一般電梯使用狀況推估，預估可節能15~20%。</w:t>
            </w:r>
          </w:p>
          <w:p w:rsidR="00BC1198" w:rsidRPr="00BC1198" w:rsidRDefault="00BC1198" w:rsidP="00BC1198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晚上或星期例假日建議停止變頻器控制電扶梯運轉，由於電扶梯在全載狀態下，變頻器會造成設備耗電量增加。(</w:t>
            </w:r>
            <w:proofErr w:type="gramStart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:變頻器之選用應注意其額定電流是否能匹配電扶梯最大承載重量，以防止變頻器當機，影響電扶梯</w:t>
            </w: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lastRenderedPageBreak/>
              <w:t>運轉造成營業困擾)</w:t>
            </w:r>
          </w:p>
        </w:tc>
      </w:tr>
      <w:tr w:rsidR="00BC1198" w:rsidRPr="00BC1198" w:rsidTr="002C18E4">
        <w:trPr>
          <w:trHeight w:val="414"/>
        </w:trPr>
        <w:tc>
          <w:tcPr>
            <w:tcW w:w="2135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lastRenderedPageBreak/>
              <w:t>預期效益</w:t>
            </w:r>
          </w:p>
        </w:tc>
        <w:tc>
          <w:tcPr>
            <w:tcW w:w="8463" w:type="dxa"/>
            <w:gridSpan w:val="3"/>
          </w:tcPr>
          <w:p w:rsidR="00BC1198" w:rsidRPr="00BC1198" w:rsidRDefault="00BC1198" w:rsidP="00BC1198">
            <w:pPr>
              <w:widowControl/>
              <w:numPr>
                <w:ilvl w:val="0"/>
                <w:numId w:val="9"/>
              </w:numPr>
              <w:spacing w:line="300" w:lineRule="atLeast"/>
              <w:ind w:left="60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預估電扶梯增設變頻控制後，保守預估可節省94,293 kWh/年、32.1萬元。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189"/>
              <w:gridCol w:w="1083"/>
              <w:gridCol w:w="1257"/>
              <w:gridCol w:w="1257"/>
              <w:gridCol w:w="1313"/>
              <w:gridCol w:w="964"/>
            </w:tblGrid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設備電功率</w:t>
                  </w: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br/>
                    <w:t>(kW)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noWrap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數量 (台)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運轉時數</w:t>
                  </w: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br/>
                    <w:t>(時/年)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參差因素 (%)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平均節省 (%)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節省耗電量</w:t>
                  </w: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br/>
                    <w:t>(kWh/年)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rPr>
                      <w:rFonts w:ascii="微軟正黑體" w:eastAsia="微軟正黑體" w:hAnsi="微軟正黑體" w:cs="新細明體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節省電費</w:t>
                  </w:r>
                  <w:r w:rsidRPr="00BC119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br/>
                    <w:t>(萬元)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18.65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 4,380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  58,815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-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 4,380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  35,478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-</w:t>
                  </w:r>
                </w:p>
              </w:tc>
            </w:tr>
            <w:tr w:rsidR="00BC1198" w:rsidRPr="00BC1198" w:rsidTr="00BC11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   94,293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bottom"/>
                  <w:hideMark/>
                </w:tcPr>
                <w:p w:rsidR="00BC1198" w:rsidRPr="00BC1198" w:rsidRDefault="00BC1198" w:rsidP="00BC1198">
                  <w:pPr>
                    <w:widowControl/>
                    <w:spacing w:line="300" w:lineRule="atLeast"/>
                    <w:jc w:val="center"/>
                    <w:rPr>
                      <w:rFonts w:ascii="微軟正黑體" w:eastAsia="微軟正黑體" w:hAnsi="微軟正黑體" w:cs="新細明體"/>
                      <w:color w:val="000000" w:themeColor="text1"/>
                      <w:kern w:val="0"/>
                      <w:szCs w:val="24"/>
                    </w:rPr>
                  </w:pPr>
                  <w:r w:rsidRPr="00BC1198">
                    <w:rPr>
                      <w:rFonts w:ascii="微軟正黑體" w:eastAsia="微軟正黑體" w:hAnsi="微軟正黑體" w:cs="新細明體" w:hint="eastAsia"/>
                      <w:color w:val="000000" w:themeColor="text1"/>
                      <w:kern w:val="0"/>
                      <w:szCs w:val="24"/>
                    </w:rPr>
                    <w:t>32.1</w:t>
                  </w:r>
                </w:p>
              </w:tc>
            </w:tr>
          </w:tbl>
          <w:p w:rsidR="00BC1198" w:rsidRPr="00BC1198" w:rsidRDefault="00BC1198" w:rsidP="00BC1198">
            <w:pPr>
              <w:widowControl/>
              <w:shd w:val="clear" w:color="auto" w:fill="FFFFFF"/>
              <w:spacing w:line="300" w:lineRule="atLeast"/>
              <w:ind w:left="1800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:平均電價:3.41元/度</w:t>
            </w:r>
          </w:p>
        </w:tc>
      </w:tr>
      <w:tr w:rsidR="00BC1198" w:rsidRPr="00BC1198" w:rsidTr="002C18E4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BC1198" w:rsidRPr="00BC1198" w:rsidRDefault="00BC1198" w:rsidP="002C18E4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BC119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BC1198" w:rsidRPr="00BC1198" w:rsidRDefault="00BC1198" w:rsidP="00BC1198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投資費用：電扶梯增設紅外線感知控制器及變頻附屬控制設備，投資費用約96萬元。(實際費用以廠商報價為</w:t>
            </w:r>
            <w:proofErr w:type="gramStart"/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準）</w:t>
            </w:r>
            <w:proofErr w:type="gramEnd"/>
          </w:p>
          <w:p w:rsidR="00BC1198" w:rsidRPr="00BC1198" w:rsidRDefault="00BC1198" w:rsidP="00BC1198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BC119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回收年限：96萬元÷32.1萬元/年＝3年。</w:t>
            </w:r>
          </w:p>
        </w:tc>
      </w:tr>
    </w:tbl>
    <w:p w:rsidR="00BC1198" w:rsidRPr="00BC1198" w:rsidRDefault="00BC1198" w:rsidP="00BC1198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color w:val="000000" w:themeColor="text1"/>
          <w:kern w:val="0"/>
          <w:szCs w:val="21"/>
        </w:rPr>
      </w:pPr>
    </w:p>
    <w:sectPr w:rsidR="00BC1198" w:rsidRPr="00BC1198" w:rsidSect="00BC1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0415"/>
    <w:multiLevelType w:val="multilevel"/>
    <w:tmpl w:val="7756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29D9"/>
    <w:multiLevelType w:val="multilevel"/>
    <w:tmpl w:val="2A02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502C2"/>
    <w:multiLevelType w:val="multilevel"/>
    <w:tmpl w:val="096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15754"/>
    <w:multiLevelType w:val="multilevel"/>
    <w:tmpl w:val="CF5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148E5"/>
    <w:multiLevelType w:val="multilevel"/>
    <w:tmpl w:val="728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D27E5E"/>
    <w:multiLevelType w:val="multilevel"/>
    <w:tmpl w:val="788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8"/>
    <w:rsid w:val="000D5C2D"/>
    <w:rsid w:val="00B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C1198"/>
    <w:rPr>
      <w:b/>
      <w:bCs/>
    </w:rPr>
  </w:style>
  <w:style w:type="paragraph" w:styleId="Web">
    <w:name w:val="Normal (Web)"/>
    <w:basedOn w:val="a"/>
    <w:uiPriority w:val="99"/>
    <w:semiHidden/>
    <w:unhideWhenUsed/>
    <w:rsid w:val="00BC11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C1198"/>
    <w:rPr>
      <w:b/>
      <w:bCs/>
    </w:rPr>
  </w:style>
  <w:style w:type="paragraph" w:styleId="Web">
    <w:name w:val="Normal (Web)"/>
    <w:basedOn w:val="a"/>
    <w:uiPriority w:val="99"/>
    <w:semiHidden/>
    <w:unhideWhenUsed/>
    <w:rsid w:val="00BC11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2016-08-01T01:33:00Z</dcterms:created>
  <dcterms:modified xsi:type="dcterms:W3CDTF">2016-08-01T01:36:00Z</dcterms:modified>
</cp:coreProperties>
</file>