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A6421D" w:rsidP="00A6421D">
      <w:pPr>
        <w:jc w:val="center"/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</w:pPr>
      <w:r w:rsidRPr="00A6421D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照度合</w:t>
      </w:r>
      <w:r w:rsidRPr="00A6421D">
        <w:rPr>
          <w:rFonts w:ascii="微軟正黑體" w:eastAsia="微軟正黑體" w:hAnsi="微軟正黑體" w:cs="細明體" w:hint="eastAsia"/>
          <w:color w:val="2F2F2E"/>
          <w:sz w:val="40"/>
          <w:szCs w:val="39"/>
          <w:shd w:val="clear" w:color="auto" w:fill="FFFFFF"/>
        </w:rPr>
        <w:t>理</w:t>
      </w:r>
      <w:r w:rsidRPr="00A6421D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化</w:t>
      </w:r>
    </w:p>
    <w:p w:rsidR="00A6421D" w:rsidRDefault="00A6421D" w:rsidP="00A6421D">
      <w:pPr>
        <w:widowControl/>
        <w:shd w:val="clear" w:color="auto" w:fill="FFFFFF"/>
        <w:wordWrap w:val="0"/>
        <w:spacing w:before="75" w:after="75" w:line="240" w:lineRule="atLeast"/>
        <w:ind w:right="375"/>
        <w:jc w:val="right"/>
        <w:textAlignment w:val="baseline"/>
        <w:rPr>
          <w:rFonts w:ascii="Microsoft YaHei" w:hAnsi="Microsoft YaHei" w:cs="新細明體" w:hint="eastAsia"/>
          <w:color w:val="666666"/>
          <w:kern w:val="0"/>
          <w:sz w:val="21"/>
          <w:szCs w:val="21"/>
        </w:rPr>
      </w:pPr>
      <w:r w:rsidRPr="00A6421D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發佈日期：2016-07-27</w:t>
      </w:r>
      <w:r>
        <w:rPr>
          <w:rFonts w:ascii="Microsoft YaHei" w:hAnsi="Microsoft YaHei" w:cs="新細明體" w:hint="eastAsia"/>
          <w:color w:val="666666"/>
          <w:kern w:val="0"/>
          <w:sz w:val="21"/>
          <w:szCs w:val="21"/>
        </w:rPr>
        <w:t xml:space="preserve">   </w:t>
      </w:r>
      <w:r w:rsidRPr="00A6421D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資料來源：服務業節能服務網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4469"/>
      </w:tblGrid>
      <w:tr w:rsidR="00A6421D" w:rsidRPr="00A6421D" w:rsidTr="00A6421D">
        <w:tc>
          <w:tcPr>
            <w:tcW w:w="2090" w:type="dxa"/>
            <w:shd w:val="clear" w:color="auto" w:fill="BFBFBF" w:themeFill="background1" w:themeFillShade="BF"/>
          </w:tcPr>
          <w:p w:rsidR="00A6421D" w:rsidRPr="00A6421D" w:rsidRDefault="00A6421D" w:rsidP="00A6421D">
            <w:pPr>
              <w:widowControl/>
              <w:spacing w:before="75" w:after="75" w:line="240" w:lineRule="atLeast"/>
              <w:ind w:right="375"/>
              <w:jc w:val="center"/>
              <w:textAlignment w:val="baseline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行業別</w:t>
            </w:r>
          </w:p>
        </w:tc>
        <w:tc>
          <w:tcPr>
            <w:tcW w:w="2090" w:type="dxa"/>
          </w:tcPr>
          <w:p w:rsidR="00A6421D" w:rsidRPr="00A6421D" w:rsidRDefault="00A6421D" w:rsidP="00A6421D">
            <w:pPr>
              <w:widowControl/>
              <w:spacing w:before="75" w:after="75" w:line="240" w:lineRule="atLeast"/>
              <w:ind w:right="375"/>
              <w:textAlignment w:val="baseline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全部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A6421D" w:rsidRPr="00A6421D" w:rsidRDefault="00A6421D" w:rsidP="00A6421D">
            <w:pPr>
              <w:widowControl/>
              <w:spacing w:before="75" w:after="75" w:line="240" w:lineRule="atLeast"/>
              <w:ind w:right="375"/>
              <w:jc w:val="center"/>
              <w:textAlignment w:val="baseline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設備別</w:t>
            </w:r>
          </w:p>
        </w:tc>
        <w:tc>
          <w:tcPr>
            <w:tcW w:w="4469" w:type="dxa"/>
          </w:tcPr>
          <w:p w:rsidR="00A6421D" w:rsidRPr="00A6421D" w:rsidRDefault="00A6421D" w:rsidP="00A6421D">
            <w:pPr>
              <w:widowControl/>
              <w:spacing w:before="75" w:after="75" w:line="240" w:lineRule="atLeast"/>
              <w:ind w:right="375"/>
              <w:textAlignment w:val="baseline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照明系統</w:t>
            </w:r>
          </w:p>
        </w:tc>
      </w:tr>
      <w:tr w:rsidR="00A6421D" w:rsidRPr="00A6421D" w:rsidTr="00A6421D">
        <w:tc>
          <w:tcPr>
            <w:tcW w:w="2090" w:type="dxa"/>
            <w:shd w:val="clear" w:color="auto" w:fill="BFBFBF" w:themeFill="background1" w:themeFillShade="BF"/>
          </w:tcPr>
          <w:p w:rsidR="00A6421D" w:rsidRPr="00A6421D" w:rsidRDefault="00A6421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421D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650" w:type="dxa"/>
            <w:gridSpan w:val="3"/>
          </w:tcPr>
          <w:p w:rsidR="00A6421D" w:rsidRPr="00A6421D" w:rsidRDefault="00A6421D" w:rsidP="00A6421D">
            <w:pPr>
              <w:widowControl/>
              <w:numPr>
                <w:ilvl w:val="0"/>
                <w:numId w:val="3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商場內員工走道採用20W×4 型電子式安定器型日光燈具為主，耗電72W/具。</w:t>
            </w:r>
          </w:p>
          <w:p w:rsidR="00A6421D" w:rsidRPr="00A6421D" w:rsidRDefault="00A6421D" w:rsidP="00A6421D">
            <w:pPr>
              <w:widowControl/>
              <w:numPr>
                <w:ilvl w:val="0"/>
                <w:numId w:val="3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經實測現場照度500~</w:t>
            </w:r>
            <w:bookmarkStart w:id="0" w:name="_GoBack"/>
            <w:bookmarkEnd w:id="0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700 lux，依據CNS 照度標準，走道為150-300 lux，故明顯偏高甚多。</w:t>
            </w:r>
          </w:p>
        </w:tc>
      </w:tr>
      <w:tr w:rsidR="00A6421D" w:rsidRPr="00A6421D" w:rsidTr="00A6421D">
        <w:tc>
          <w:tcPr>
            <w:tcW w:w="2090" w:type="dxa"/>
            <w:shd w:val="clear" w:color="auto" w:fill="BFBFBF" w:themeFill="background1" w:themeFillShade="BF"/>
          </w:tcPr>
          <w:p w:rsidR="00A6421D" w:rsidRPr="00A6421D" w:rsidRDefault="00A6421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421D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650" w:type="dxa"/>
            <w:gridSpan w:val="3"/>
          </w:tcPr>
          <w:p w:rsidR="00A6421D" w:rsidRPr="00A6421D" w:rsidRDefault="00A6421D" w:rsidP="00A6421D">
            <w:pPr>
              <w:widowControl/>
              <w:numPr>
                <w:ilvl w:val="0"/>
                <w:numId w:val="4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依CNS 標準</w:t>
            </w:r>
            <w:proofErr w:type="gramStart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進行減光措施</w:t>
            </w:r>
            <w:proofErr w:type="gramEnd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，在走道或非工作區域，</w:t>
            </w:r>
            <w:proofErr w:type="gramStart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以跳盞方式</w:t>
            </w:r>
            <w:proofErr w:type="gramEnd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開燈，</w:t>
            </w:r>
            <w:proofErr w:type="gramStart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減光後</w:t>
            </w:r>
            <w:proofErr w:type="gramEnd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照度150-300 lux，符合CNS 走道最低照度標準，可減少燈具燈管損耗、照明用電及降低空調負荷。</w:t>
            </w:r>
          </w:p>
        </w:tc>
      </w:tr>
      <w:tr w:rsidR="00A6421D" w:rsidRPr="00A6421D" w:rsidTr="00A6421D">
        <w:tc>
          <w:tcPr>
            <w:tcW w:w="2090" w:type="dxa"/>
            <w:shd w:val="clear" w:color="auto" w:fill="BFBFBF" w:themeFill="background1" w:themeFillShade="BF"/>
          </w:tcPr>
          <w:p w:rsidR="00A6421D" w:rsidRPr="00A6421D" w:rsidRDefault="00A6421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421D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650" w:type="dxa"/>
            <w:gridSpan w:val="3"/>
          </w:tcPr>
          <w:p w:rsidR="00A6421D" w:rsidRPr="00A6421D" w:rsidRDefault="00A6421D" w:rsidP="00A6421D">
            <w:pPr>
              <w:widowControl/>
              <w:numPr>
                <w:ilvl w:val="0"/>
                <w:numId w:val="5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proofErr w:type="gramStart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預估減光約</w:t>
            </w:r>
            <w:proofErr w:type="gramEnd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200 盞燈具後，共</w:t>
            </w:r>
            <w:proofErr w:type="gramStart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可抑低用</w:t>
            </w:r>
            <w:proofErr w:type="gramEnd"/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電14.4kW、減少照明用電量63,072kWh/年、節省電費支出約128,036 元/年。</w:t>
            </w:r>
          </w:p>
          <w:p w:rsidR="00A6421D" w:rsidRPr="00A6421D" w:rsidRDefault="00A6421D" w:rsidP="00A6421D">
            <w:pPr>
              <w:widowControl/>
              <w:numPr>
                <w:ilvl w:val="0"/>
                <w:numId w:val="5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[(耗電72W/具÷1,000W/kW)×200 具]×12 小時/天×365 天/年×2.03 元/度=128,036 元/年(14.4kW、63,072kWh/年)</w:t>
            </w:r>
          </w:p>
        </w:tc>
      </w:tr>
      <w:tr w:rsidR="00A6421D" w:rsidRPr="00A6421D" w:rsidTr="00A6421D">
        <w:tc>
          <w:tcPr>
            <w:tcW w:w="2090" w:type="dxa"/>
            <w:shd w:val="clear" w:color="auto" w:fill="BFBFBF" w:themeFill="background1" w:themeFillShade="BF"/>
          </w:tcPr>
          <w:p w:rsidR="00A6421D" w:rsidRPr="00A6421D" w:rsidRDefault="00A6421D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421D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650" w:type="dxa"/>
            <w:gridSpan w:val="3"/>
          </w:tcPr>
          <w:p w:rsidR="00A6421D" w:rsidRPr="00A6421D" w:rsidRDefault="00A6421D" w:rsidP="00A6421D">
            <w:pPr>
              <w:widowControl/>
              <w:numPr>
                <w:ilvl w:val="0"/>
                <w:numId w:val="6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投資費用：無(僅需操作調整即可)</w:t>
            </w:r>
          </w:p>
          <w:p w:rsidR="00A6421D" w:rsidRPr="00A6421D" w:rsidRDefault="00A6421D" w:rsidP="00A6421D">
            <w:pPr>
              <w:widowControl/>
              <w:numPr>
                <w:ilvl w:val="0"/>
                <w:numId w:val="6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</w:pPr>
            <w:r w:rsidRPr="00A6421D">
              <w:rPr>
                <w:rFonts w:ascii="微軟正黑體" w:eastAsia="微軟正黑體" w:hAnsi="微軟正黑體" w:cs="新細明體" w:hint="eastAsia"/>
                <w:color w:val="333333"/>
                <w:kern w:val="0"/>
                <w:szCs w:val="24"/>
              </w:rPr>
              <w:t>回收年限：立即</w:t>
            </w:r>
          </w:p>
        </w:tc>
      </w:tr>
    </w:tbl>
    <w:p w:rsidR="00A6421D" w:rsidRPr="00A6421D" w:rsidRDefault="00A6421D" w:rsidP="00A6421D">
      <w:pPr>
        <w:widowControl/>
        <w:shd w:val="clear" w:color="auto" w:fill="FFFFFF"/>
        <w:spacing w:before="75" w:after="75" w:line="240" w:lineRule="atLeast"/>
        <w:ind w:right="375"/>
        <w:textAlignment w:val="baseline"/>
        <w:rPr>
          <w:rFonts w:ascii="Microsoft YaHei" w:hAnsi="Microsoft YaHei" w:cs="新細明體" w:hint="eastAsia"/>
          <w:color w:val="666666"/>
          <w:kern w:val="0"/>
          <w:sz w:val="21"/>
          <w:szCs w:val="21"/>
        </w:rPr>
      </w:pPr>
    </w:p>
    <w:sectPr w:rsidR="00A6421D" w:rsidRPr="00A6421D" w:rsidSect="00A64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C9A"/>
    <w:multiLevelType w:val="multilevel"/>
    <w:tmpl w:val="5C9A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676DA"/>
    <w:multiLevelType w:val="multilevel"/>
    <w:tmpl w:val="A23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A4B24"/>
    <w:multiLevelType w:val="multilevel"/>
    <w:tmpl w:val="EDF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0608F"/>
    <w:multiLevelType w:val="multilevel"/>
    <w:tmpl w:val="4AF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3722E"/>
    <w:multiLevelType w:val="multilevel"/>
    <w:tmpl w:val="4B4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B060B"/>
    <w:multiLevelType w:val="multilevel"/>
    <w:tmpl w:val="0BB6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1D"/>
    <w:rsid w:val="0052791E"/>
    <w:rsid w:val="00A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2016-07-29T06:57:00Z</dcterms:created>
  <dcterms:modified xsi:type="dcterms:W3CDTF">2016-07-29T07:03:00Z</dcterms:modified>
</cp:coreProperties>
</file>